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FFC" w:rsidRDefault="00FB6FFC" w:rsidP="00FB6FFC">
      <w:pPr>
        <w:pStyle w:val="Overskrift2"/>
        <w:rPr>
          <w:rFonts w:eastAsia="Times New Roman"/>
          <w:sz w:val="19"/>
          <w:szCs w:val="19"/>
        </w:rPr>
      </w:pPr>
      <w:r>
        <w:rPr>
          <w:rFonts w:eastAsia="Times New Roman"/>
          <w:color w:val="333333"/>
        </w:rPr>
        <w:t xml:space="preserve">§ 30 </w:t>
      </w:r>
      <w:r>
        <w:rPr>
          <w:rFonts w:eastAsia="Times New Roman"/>
        </w:rPr>
        <w:t>Ordensreglement for genbrugspladserne i Frederiksværk og Hundested</w:t>
      </w:r>
    </w:p>
    <w:p w:rsidR="00FB6FFC" w:rsidRDefault="00FB6FFC" w:rsidP="00FB6FFC">
      <w:pPr>
        <w:pStyle w:val="Overskrift3"/>
        <w:rPr>
          <w:rFonts w:eastAsia="Times New Roman"/>
        </w:rPr>
      </w:pPr>
      <w:r>
        <w:rPr>
          <w:rFonts w:eastAsia="Times New Roman"/>
        </w:rPr>
        <w:t>§ 30.1 Grundlag og område</w:t>
      </w:r>
    </w:p>
    <w:p w:rsidR="00FB6FFC" w:rsidRDefault="00FB6FFC" w:rsidP="00FB6FFC">
      <w:pPr>
        <w:pStyle w:val="Listeafsnit"/>
        <w:numPr>
          <w:ilvl w:val="0"/>
          <w:numId w:val="1"/>
        </w:numPr>
        <w:spacing w:before="100" w:beforeAutospacing="1" w:after="100" w:afterAutospacing="1"/>
        <w:rPr>
          <w:rFonts w:ascii="Verdana" w:eastAsia="Times New Roman" w:hAnsi="Verdana"/>
          <w:sz w:val="19"/>
          <w:szCs w:val="19"/>
          <w:lang w:eastAsia="da-DK"/>
        </w:rPr>
      </w:pPr>
      <w:r>
        <w:rPr>
          <w:rFonts w:ascii="Verdana" w:eastAsia="Times New Roman" w:hAnsi="Verdana"/>
          <w:sz w:val="19"/>
          <w:szCs w:val="19"/>
          <w:lang w:eastAsia="da-DK"/>
        </w:rPr>
        <w:t xml:space="preserve">Genbrugspladserne i Halsnæs Kommune kan bruges af private borgere og sommerhusejere fra </w:t>
      </w:r>
      <w:proofErr w:type="spellStart"/>
      <w:r>
        <w:rPr>
          <w:rFonts w:ascii="Verdana" w:eastAsia="Times New Roman" w:hAnsi="Verdana"/>
          <w:sz w:val="19"/>
          <w:szCs w:val="19"/>
          <w:lang w:eastAsia="da-DK"/>
        </w:rPr>
        <w:t>Vestforbrændings</w:t>
      </w:r>
      <w:proofErr w:type="spellEnd"/>
      <w:r>
        <w:rPr>
          <w:rFonts w:ascii="Verdana" w:eastAsia="Times New Roman" w:hAnsi="Verdana"/>
          <w:sz w:val="19"/>
          <w:szCs w:val="19"/>
          <w:lang w:eastAsia="da-DK"/>
        </w:rPr>
        <w:t xml:space="preserve"> oplandskommuner, samt af virksomheder, hvis de er tilmeldt </w:t>
      </w:r>
      <w:proofErr w:type="spellStart"/>
      <w:r>
        <w:rPr>
          <w:rFonts w:ascii="Verdana" w:eastAsia="Times New Roman" w:hAnsi="Verdana"/>
          <w:sz w:val="19"/>
          <w:szCs w:val="19"/>
          <w:lang w:eastAsia="da-DK"/>
        </w:rPr>
        <w:t>Vestforbrændings</w:t>
      </w:r>
      <w:proofErr w:type="spellEnd"/>
      <w:r>
        <w:rPr>
          <w:rFonts w:ascii="Verdana" w:eastAsia="Times New Roman" w:hAnsi="Verdana"/>
          <w:sz w:val="19"/>
          <w:szCs w:val="19"/>
          <w:lang w:eastAsia="da-DK"/>
        </w:rPr>
        <w:t xml:space="preserve"> tilmeldeordning for genbrugspladserne i </w:t>
      </w:r>
      <w:proofErr w:type="spellStart"/>
      <w:r>
        <w:rPr>
          <w:rFonts w:ascii="Verdana" w:eastAsia="Times New Roman" w:hAnsi="Verdana"/>
          <w:sz w:val="19"/>
          <w:szCs w:val="19"/>
          <w:lang w:eastAsia="da-DK"/>
        </w:rPr>
        <w:t>Vestforbrændings</w:t>
      </w:r>
      <w:proofErr w:type="spellEnd"/>
      <w:r>
        <w:rPr>
          <w:rFonts w:ascii="Verdana" w:eastAsia="Times New Roman" w:hAnsi="Verdana"/>
          <w:sz w:val="19"/>
          <w:szCs w:val="19"/>
          <w:lang w:eastAsia="da-DK"/>
        </w:rPr>
        <w:t xml:space="preserve"> opland. Besøgende kan benytte genbrugspladserne, såfremt de følger personalets anvisninger og kontrol.</w:t>
      </w:r>
    </w:p>
    <w:p w:rsidR="00FB6FFC" w:rsidRDefault="00FB6FFC" w:rsidP="00FB6FFC">
      <w:pPr>
        <w:pStyle w:val="Listeafsnit"/>
        <w:numPr>
          <w:ilvl w:val="0"/>
          <w:numId w:val="1"/>
        </w:numPr>
        <w:spacing w:before="100" w:beforeAutospacing="1" w:after="100" w:afterAutospacing="1"/>
        <w:rPr>
          <w:rFonts w:ascii="Verdana" w:eastAsia="Times New Roman" w:hAnsi="Verdana"/>
          <w:sz w:val="19"/>
          <w:szCs w:val="19"/>
          <w:lang w:eastAsia="da-DK"/>
        </w:rPr>
      </w:pPr>
      <w:r>
        <w:rPr>
          <w:rFonts w:ascii="Verdana" w:eastAsia="Times New Roman" w:hAnsi="Verdana"/>
          <w:sz w:val="19"/>
          <w:szCs w:val="19"/>
          <w:lang w:eastAsia="da-DK"/>
        </w:rPr>
        <w:t>Brugere af genbrugspladserne kan aflevere affald tilført i køretøjer med en tilladt totalvægt på op til og med 3.500 kg ikke medregnet en eventuel trailer.</w:t>
      </w:r>
    </w:p>
    <w:p w:rsidR="00FB6FFC" w:rsidRDefault="00FB6FFC" w:rsidP="00FB6FFC">
      <w:pPr>
        <w:pStyle w:val="Listeafsnit"/>
        <w:numPr>
          <w:ilvl w:val="0"/>
          <w:numId w:val="1"/>
        </w:numPr>
        <w:spacing w:before="0"/>
        <w:rPr>
          <w:rFonts w:ascii="Verdana" w:eastAsia="Times New Roman" w:hAnsi="Verdana"/>
          <w:sz w:val="19"/>
          <w:szCs w:val="19"/>
          <w:lang w:eastAsia="da-DK"/>
        </w:rPr>
      </w:pPr>
      <w:r>
        <w:rPr>
          <w:rFonts w:ascii="Verdana" w:eastAsia="Times New Roman" w:hAnsi="Verdana"/>
          <w:sz w:val="19"/>
          <w:szCs w:val="19"/>
          <w:lang w:eastAsia="da-DK"/>
        </w:rPr>
        <w:t>Virksomheder må højst aflevere 200 kg olie- og kemikalieaffald pr. år. For hver gang en virksomhed afleverer farligt affald, skal der udstedes en kvittering.</w:t>
      </w:r>
    </w:p>
    <w:p w:rsidR="00FB6FFC" w:rsidRDefault="00FB6FFC" w:rsidP="00FB6FFC">
      <w:pPr>
        <w:pStyle w:val="Listeafsnit"/>
        <w:numPr>
          <w:ilvl w:val="0"/>
          <w:numId w:val="1"/>
        </w:numPr>
        <w:spacing w:before="100" w:beforeAutospacing="1" w:after="100" w:afterAutospacing="1"/>
        <w:rPr>
          <w:rFonts w:ascii="Verdana" w:eastAsia="Times New Roman" w:hAnsi="Verdana"/>
          <w:sz w:val="19"/>
          <w:szCs w:val="19"/>
          <w:lang w:eastAsia="da-DK"/>
        </w:rPr>
      </w:pPr>
      <w:r>
        <w:rPr>
          <w:rFonts w:ascii="Verdana" w:eastAsia="Times New Roman" w:hAnsi="Verdana"/>
          <w:sz w:val="19"/>
          <w:szCs w:val="19"/>
          <w:lang w:eastAsia="da-DK"/>
        </w:rPr>
        <w:t>Genbrugspladsen indbefatter også afdelingen for haveaffald og reglementet gælder derfor også for aflevering af haveaffald og afhentning af færdig kompost.</w:t>
      </w:r>
    </w:p>
    <w:p w:rsidR="00FB6FFC" w:rsidRDefault="00FB6FFC" w:rsidP="00FB6FFC">
      <w:pPr>
        <w:pStyle w:val="Listeafsnit"/>
        <w:numPr>
          <w:ilvl w:val="0"/>
          <w:numId w:val="1"/>
        </w:numPr>
        <w:spacing w:before="100" w:beforeAutospacing="1" w:after="100" w:afterAutospacing="1"/>
        <w:rPr>
          <w:rFonts w:ascii="Verdana" w:eastAsia="Times New Roman" w:hAnsi="Verdana"/>
          <w:b/>
          <w:sz w:val="19"/>
          <w:szCs w:val="19"/>
          <w:lang w:eastAsia="da-DK"/>
        </w:rPr>
      </w:pPr>
      <w:r>
        <w:rPr>
          <w:rFonts w:ascii="Verdana" w:eastAsia="Times New Roman" w:hAnsi="Verdana"/>
          <w:sz w:val="19"/>
          <w:szCs w:val="19"/>
          <w:lang w:eastAsia="da-DK"/>
        </w:rPr>
        <w:t>Genbrugspladsen indbefatter også Genbrugshuset (Hundested), der er et rum hvor borgerne kan aflevere direkte genbrugelige effekter. Samt genbrugsbutikken på Frederiksværks genbrugsplads</w:t>
      </w:r>
      <w:r>
        <w:rPr>
          <w:rFonts w:ascii="Verdana" w:eastAsia="Times New Roman" w:hAnsi="Verdana"/>
          <w:color w:val="FF0000"/>
          <w:sz w:val="19"/>
          <w:szCs w:val="19"/>
          <w:lang w:eastAsia="da-DK"/>
        </w:rPr>
        <w:t>.</w:t>
      </w:r>
    </w:p>
    <w:p w:rsidR="00FB6FFC" w:rsidRDefault="00FB6FFC" w:rsidP="00FB6FFC">
      <w:pPr>
        <w:pStyle w:val="Overskrift3"/>
        <w:rPr>
          <w:rFonts w:eastAsia="Times New Roman"/>
        </w:rPr>
      </w:pPr>
      <w:r>
        <w:rPr>
          <w:rFonts w:eastAsia="Times New Roman"/>
        </w:rPr>
        <w:t>§ 30.2 Affaldsmodtagelse og sortering</w:t>
      </w:r>
    </w:p>
    <w:p w:rsidR="00FB6FFC" w:rsidRDefault="00FB6FFC" w:rsidP="00FB6FFC">
      <w:pPr>
        <w:pStyle w:val="Listeafsnit"/>
        <w:numPr>
          <w:ilvl w:val="0"/>
          <w:numId w:val="2"/>
        </w:numPr>
        <w:spacing w:before="0"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 xml:space="preserve">På genbrugspladserne kan afleveres affald og genanvendelige materialer, dog </w:t>
      </w:r>
      <w:r>
        <w:rPr>
          <w:rFonts w:ascii="Verdana" w:eastAsia="Times New Roman" w:hAnsi="Verdana"/>
          <w:b/>
          <w:bCs w:val="0"/>
          <w:sz w:val="20"/>
          <w:szCs w:val="20"/>
          <w:u w:val="single"/>
          <w:lang w:eastAsia="da-DK"/>
        </w:rPr>
        <w:t>ikke</w:t>
      </w:r>
      <w:r>
        <w:rPr>
          <w:rFonts w:ascii="Verdana" w:eastAsia="Times New Roman" w:hAnsi="Verdana"/>
          <w:sz w:val="20"/>
          <w:szCs w:val="20"/>
          <w:lang w:eastAsia="da-DK"/>
        </w:rPr>
        <w:t>:</w:t>
      </w:r>
    </w:p>
    <w:p w:rsidR="00FB6FFC" w:rsidRDefault="00FB6FFC" w:rsidP="00FB6FFC">
      <w:pPr>
        <w:spacing w:line="225" w:lineRule="atLeast"/>
        <w:textAlignment w:val="top"/>
        <w:rPr>
          <w:rFonts w:ascii="Verdana" w:hAnsi="Verdana"/>
          <w:sz w:val="20"/>
          <w:szCs w:val="20"/>
          <w:lang w:eastAsia="da-DK"/>
        </w:rPr>
      </w:pPr>
    </w:p>
    <w:p w:rsidR="00FB6FFC" w:rsidRDefault="00FB6FFC" w:rsidP="00FB6FFC">
      <w:pPr>
        <w:numPr>
          <w:ilvl w:val="1"/>
          <w:numId w:val="3"/>
        </w:numPr>
        <w:spacing w:line="225" w:lineRule="atLeast"/>
        <w:textAlignment w:val="top"/>
        <w:rPr>
          <w:rFonts w:ascii="Verdana" w:hAnsi="Verdana"/>
          <w:sz w:val="20"/>
          <w:szCs w:val="20"/>
          <w:lang w:eastAsia="da-DK"/>
        </w:rPr>
      </w:pPr>
      <w:r>
        <w:rPr>
          <w:rFonts w:ascii="Verdana" w:hAnsi="Verdana"/>
          <w:sz w:val="20"/>
          <w:szCs w:val="20"/>
          <w:lang w:eastAsia="da-DK"/>
        </w:rPr>
        <w:t>Dagrenovation (køkken/madaffald) og andet let fordærveligt affald</w:t>
      </w:r>
    </w:p>
    <w:p w:rsidR="00FB6FFC" w:rsidRDefault="00FB6FFC" w:rsidP="00FB6FFC">
      <w:pPr>
        <w:numPr>
          <w:ilvl w:val="1"/>
          <w:numId w:val="3"/>
        </w:numPr>
        <w:spacing w:line="225" w:lineRule="atLeast"/>
        <w:textAlignment w:val="top"/>
        <w:rPr>
          <w:rFonts w:ascii="Verdana" w:hAnsi="Verdana"/>
          <w:sz w:val="20"/>
          <w:szCs w:val="20"/>
          <w:lang w:eastAsia="da-DK"/>
        </w:rPr>
      </w:pPr>
      <w:r>
        <w:rPr>
          <w:rFonts w:ascii="Verdana" w:hAnsi="Verdana"/>
          <w:sz w:val="20"/>
          <w:szCs w:val="20"/>
          <w:lang w:eastAsia="da-DK"/>
        </w:rPr>
        <w:t>Radioaktivt affald og eksplosiver</w:t>
      </w:r>
    </w:p>
    <w:p w:rsidR="00FB6FFC" w:rsidRDefault="00FB6FFC" w:rsidP="00FB6FFC">
      <w:pPr>
        <w:numPr>
          <w:ilvl w:val="1"/>
          <w:numId w:val="3"/>
        </w:numPr>
        <w:spacing w:line="225" w:lineRule="atLeast"/>
        <w:textAlignment w:val="top"/>
        <w:rPr>
          <w:rFonts w:ascii="Verdana" w:hAnsi="Verdana"/>
          <w:sz w:val="20"/>
          <w:szCs w:val="20"/>
          <w:lang w:eastAsia="da-DK"/>
        </w:rPr>
      </w:pPr>
      <w:r>
        <w:rPr>
          <w:rFonts w:ascii="Verdana" w:hAnsi="Verdana"/>
          <w:sz w:val="20"/>
          <w:szCs w:val="20"/>
          <w:lang w:eastAsia="da-DK"/>
        </w:rPr>
        <w:t>Støvende asbest</w:t>
      </w:r>
    </w:p>
    <w:p w:rsidR="00FB6FFC" w:rsidRDefault="00FB6FFC" w:rsidP="00FB6FFC">
      <w:pPr>
        <w:numPr>
          <w:ilvl w:val="1"/>
          <w:numId w:val="3"/>
        </w:numPr>
        <w:spacing w:line="225" w:lineRule="atLeast"/>
        <w:textAlignment w:val="top"/>
        <w:rPr>
          <w:rFonts w:ascii="Verdana" w:hAnsi="Verdana"/>
          <w:sz w:val="20"/>
          <w:szCs w:val="20"/>
          <w:lang w:eastAsia="da-DK"/>
        </w:rPr>
      </w:pPr>
      <w:r>
        <w:rPr>
          <w:rFonts w:ascii="Verdana" w:hAnsi="Verdana"/>
          <w:sz w:val="20"/>
          <w:szCs w:val="20"/>
          <w:lang w:eastAsia="da-DK"/>
        </w:rPr>
        <w:t>Decideret produktionsaffald fra fremstillingsvirksomheder</w:t>
      </w:r>
    </w:p>
    <w:p w:rsidR="00FB6FFC" w:rsidRDefault="00FB6FFC" w:rsidP="00FB6FFC">
      <w:pPr>
        <w:spacing w:line="225" w:lineRule="atLeast"/>
        <w:textAlignment w:val="top"/>
        <w:rPr>
          <w:rFonts w:ascii="Verdana" w:hAnsi="Verdana"/>
          <w:sz w:val="20"/>
          <w:szCs w:val="20"/>
          <w:lang w:eastAsia="da-DK"/>
        </w:rPr>
      </w:pPr>
    </w:p>
    <w:p w:rsidR="00FB6FFC" w:rsidRDefault="00FB6FFC" w:rsidP="00FB6FFC">
      <w:pPr>
        <w:pStyle w:val="Listeafsnit"/>
        <w:numPr>
          <w:ilvl w:val="0"/>
          <w:numId w:val="2"/>
        </w:numPr>
        <w:spacing w:before="0"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Der må kun foretages manuel aflæsning.</w:t>
      </w:r>
    </w:p>
    <w:p w:rsidR="00FB6FFC" w:rsidRDefault="00FB6FFC" w:rsidP="00FB6FFC">
      <w:pPr>
        <w:spacing w:line="225" w:lineRule="atLeast"/>
        <w:textAlignment w:val="top"/>
        <w:rPr>
          <w:rFonts w:ascii="Verdana" w:hAnsi="Verdana"/>
          <w:sz w:val="20"/>
          <w:szCs w:val="20"/>
          <w:lang w:eastAsia="da-DK"/>
        </w:rPr>
      </w:pPr>
    </w:p>
    <w:p w:rsidR="00FB6FFC" w:rsidRDefault="00FB6FFC" w:rsidP="00FB6FFC">
      <w:pPr>
        <w:pStyle w:val="Listeafsnit"/>
        <w:numPr>
          <w:ilvl w:val="0"/>
          <w:numId w:val="2"/>
        </w:numPr>
        <w:spacing w:before="0"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 xml:space="preserve">Er affaldet emballeret i sække, må der kun anvendes klare plastsække, så indholdet i sækken er synligt for personalet. </w:t>
      </w:r>
    </w:p>
    <w:p w:rsidR="00FB6FFC" w:rsidRDefault="00FB6FFC" w:rsidP="00FB6FFC">
      <w:pPr>
        <w:spacing w:line="225" w:lineRule="atLeast"/>
        <w:textAlignment w:val="top"/>
        <w:rPr>
          <w:rFonts w:ascii="Verdana" w:hAnsi="Verdana"/>
          <w:sz w:val="20"/>
          <w:szCs w:val="20"/>
          <w:lang w:eastAsia="da-DK"/>
        </w:rPr>
      </w:pPr>
    </w:p>
    <w:p w:rsidR="00FB6FFC" w:rsidRDefault="00FB6FFC" w:rsidP="00FB6FFC">
      <w:pPr>
        <w:pStyle w:val="Listeafsnit"/>
        <w:numPr>
          <w:ilvl w:val="0"/>
          <w:numId w:val="2"/>
        </w:numPr>
        <w:spacing w:before="0"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 xml:space="preserve">Hvis affaldet ligger i ikke gennemsigtige sække, kan personalet afvise affaldet, og kræve at det bliver </w:t>
      </w:r>
      <w:proofErr w:type="spellStart"/>
      <w:r>
        <w:rPr>
          <w:rFonts w:ascii="Verdana" w:eastAsia="Times New Roman" w:hAnsi="Verdana"/>
          <w:sz w:val="20"/>
          <w:szCs w:val="20"/>
          <w:lang w:eastAsia="da-DK"/>
        </w:rPr>
        <w:t>omemballeret</w:t>
      </w:r>
      <w:proofErr w:type="spellEnd"/>
      <w:r>
        <w:rPr>
          <w:rFonts w:ascii="Verdana" w:eastAsia="Times New Roman" w:hAnsi="Verdana"/>
          <w:sz w:val="20"/>
          <w:szCs w:val="20"/>
          <w:lang w:eastAsia="da-DK"/>
        </w:rPr>
        <w:t xml:space="preserve"> i gennemsigtige sække før affaldet lægges op i den rette container.  </w:t>
      </w:r>
    </w:p>
    <w:p w:rsidR="00FB6FFC" w:rsidRDefault="00FB6FFC" w:rsidP="00FB6FFC">
      <w:pPr>
        <w:spacing w:line="225" w:lineRule="atLeast"/>
        <w:textAlignment w:val="top"/>
        <w:rPr>
          <w:rFonts w:ascii="Verdana" w:hAnsi="Verdana"/>
          <w:sz w:val="20"/>
          <w:szCs w:val="20"/>
          <w:lang w:eastAsia="da-DK"/>
        </w:rPr>
      </w:pPr>
    </w:p>
    <w:p w:rsidR="00FB6FFC" w:rsidRDefault="00FB6FFC" w:rsidP="00FB6FFC">
      <w:pPr>
        <w:pStyle w:val="Listeafsnit"/>
        <w:numPr>
          <w:ilvl w:val="0"/>
          <w:numId w:val="2"/>
        </w:numPr>
        <w:spacing w:before="0"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Affaldet skal sorteres i de fraktioner, som fremgår af skiltningen ved båse eller containere.</w:t>
      </w:r>
    </w:p>
    <w:p w:rsidR="00FB6FFC" w:rsidRDefault="00FB6FFC" w:rsidP="00FB6FFC">
      <w:pPr>
        <w:spacing w:line="225" w:lineRule="atLeast"/>
        <w:textAlignment w:val="top"/>
        <w:rPr>
          <w:rFonts w:ascii="Verdana" w:hAnsi="Verdana"/>
          <w:sz w:val="20"/>
          <w:szCs w:val="20"/>
          <w:lang w:eastAsia="da-DK"/>
        </w:rPr>
      </w:pPr>
    </w:p>
    <w:p w:rsidR="00FB6FFC" w:rsidRDefault="00FB6FFC" w:rsidP="00FB6FFC">
      <w:pPr>
        <w:pStyle w:val="Listeafsnit"/>
        <w:numPr>
          <w:ilvl w:val="0"/>
          <w:numId w:val="2"/>
        </w:numPr>
        <w:spacing w:before="0"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Det er ikke tilladt at placere affald uden for båsene eller containerne. Spildt affald skal fejes op af brugeren.</w:t>
      </w:r>
    </w:p>
    <w:p w:rsidR="00FB6FFC" w:rsidRDefault="00FB6FFC" w:rsidP="00FB6FFC">
      <w:pPr>
        <w:spacing w:line="225" w:lineRule="atLeast"/>
        <w:textAlignment w:val="top"/>
        <w:rPr>
          <w:rFonts w:ascii="Verdana" w:hAnsi="Verdana"/>
          <w:sz w:val="20"/>
          <w:szCs w:val="20"/>
          <w:lang w:eastAsia="da-DK"/>
        </w:rPr>
      </w:pPr>
    </w:p>
    <w:p w:rsidR="00FB6FFC" w:rsidRDefault="00FB6FFC" w:rsidP="00FB6FFC">
      <w:pPr>
        <w:pStyle w:val="Listeafsnit"/>
        <w:numPr>
          <w:ilvl w:val="0"/>
          <w:numId w:val="2"/>
        </w:numPr>
        <w:spacing w:before="0"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Farligt affald skal afleveres til personalet i forsvarligt lukket emballage med oplysning om indhold.</w:t>
      </w:r>
    </w:p>
    <w:p w:rsidR="00FB6FFC" w:rsidRDefault="00FB6FFC" w:rsidP="00FB6FFC">
      <w:pPr>
        <w:spacing w:line="225" w:lineRule="atLeast"/>
        <w:textAlignment w:val="top"/>
        <w:rPr>
          <w:rFonts w:ascii="Verdana" w:hAnsi="Verdana"/>
          <w:sz w:val="20"/>
          <w:szCs w:val="20"/>
          <w:lang w:eastAsia="da-DK"/>
        </w:rPr>
      </w:pPr>
    </w:p>
    <w:p w:rsidR="00FB6FFC" w:rsidRDefault="00FB6FFC" w:rsidP="00FB6FFC">
      <w:pPr>
        <w:pStyle w:val="Listeafsnit"/>
        <w:numPr>
          <w:ilvl w:val="0"/>
          <w:numId w:val="2"/>
        </w:numPr>
        <w:spacing w:before="0"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 xml:space="preserve">I tilfælde af tvivl om korrekt sortering skal brugeren kontakte personalet. Personalet afgør, hvad der er korrekt sortering. </w:t>
      </w:r>
    </w:p>
    <w:p w:rsidR="00FB6FFC" w:rsidRDefault="00FB6FFC" w:rsidP="00FB6FFC">
      <w:pPr>
        <w:spacing w:line="225" w:lineRule="atLeast"/>
        <w:textAlignment w:val="top"/>
        <w:rPr>
          <w:rFonts w:ascii="Verdana" w:hAnsi="Verdana"/>
          <w:sz w:val="20"/>
          <w:szCs w:val="20"/>
          <w:lang w:eastAsia="da-DK"/>
        </w:rPr>
      </w:pPr>
    </w:p>
    <w:p w:rsidR="00FB6FFC" w:rsidRDefault="00FB6FFC" w:rsidP="00FB6FFC">
      <w:pPr>
        <w:pStyle w:val="Listeafsnit"/>
        <w:numPr>
          <w:ilvl w:val="0"/>
          <w:numId w:val="2"/>
        </w:numPr>
        <w:spacing w:before="0" w:line="225" w:lineRule="atLeast"/>
        <w:textAlignment w:val="top"/>
        <w:rPr>
          <w:rFonts w:ascii="Verdana" w:eastAsia="Times New Roman" w:hAnsi="Verdana"/>
          <w:b/>
          <w:sz w:val="20"/>
          <w:szCs w:val="20"/>
          <w:lang w:eastAsia="da-DK"/>
        </w:rPr>
      </w:pPr>
      <w:r>
        <w:rPr>
          <w:rFonts w:ascii="Verdana" w:eastAsia="Times New Roman" w:hAnsi="Verdana"/>
          <w:sz w:val="20"/>
          <w:szCs w:val="20"/>
          <w:lang w:eastAsia="da-DK"/>
        </w:rPr>
        <w:t>Brugeren hæfter for alle omkostninger i forbindelse med afhjælpning af skader som følge af fejlagtig aflæsning på eget initiativ. Herunder bøder for fejlsorteret læs hos modtageranlæg.</w:t>
      </w:r>
    </w:p>
    <w:p w:rsidR="00FB6FFC" w:rsidRDefault="00FB6FFC" w:rsidP="00FB6FFC">
      <w:pPr>
        <w:spacing w:line="225" w:lineRule="atLeast"/>
        <w:textAlignment w:val="top"/>
        <w:rPr>
          <w:rFonts w:ascii="Verdana" w:hAnsi="Verdana"/>
          <w:sz w:val="20"/>
          <w:szCs w:val="20"/>
          <w:lang w:eastAsia="da-DK"/>
        </w:rPr>
      </w:pPr>
    </w:p>
    <w:p w:rsidR="00FB6FFC" w:rsidRDefault="00FB6FFC" w:rsidP="00FB6FFC">
      <w:pPr>
        <w:pStyle w:val="Overskrift3"/>
        <w:rPr>
          <w:rFonts w:eastAsia="Times New Roman"/>
        </w:rPr>
      </w:pPr>
      <w:r>
        <w:rPr>
          <w:rFonts w:eastAsia="Times New Roman"/>
        </w:rPr>
        <w:lastRenderedPageBreak/>
        <w:t>§ 30.3 Færdsel og ophold</w:t>
      </w:r>
    </w:p>
    <w:p w:rsidR="00FB6FFC" w:rsidRDefault="00FB6FFC" w:rsidP="00FB6FFC">
      <w:pPr>
        <w:pStyle w:val="Listeafsnit"/>
        <w:numPr>
          <w:ilvl w:val="0"/>
          <w:numId w:val="4"/>
        </w:numPr>
        <w:spacing w:before="15" w:after="225"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Biler skal parkeres, så de ikke er til unødig gene for trafikken på pladsen, og motoren skal stoppes under aflæsning. Personalet er berettiget til at anvise trafikken på pladsen.</w:t>
      </w:r>
    </w:p>
    <w:p w:rsidR="00FB6FFC" w:rsidRDefault="00FB6FFC" w:rsidP="00FB6FFC">
      <w:pPr>
        <w:pStyle w:val="Listeafsnit"/>
        <w:numPr>
          <w:ilvl w:val="0"/>
          <w:numId w:val="4"/>
        </w:numPr>
        <w:spacing w:before="15" w:after="225"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Det er ikke tilladt at tage ophold på pladsen i længere tid end nødvendigt for aflæsning af medbragt affald.</w:t>
      </w:r>
    </w:p>
    <w:p w:rsidR="00FB6FFC" w:rsidRDefault="00FB6FFC" w:rsidP="00FB6FFC">
      <w:pPr>
        <w:pStyle w:val="Listeafsnit"/>
        <w:numPr>
          <w:ilvl w:val="0"/>
          <w:numId w:val="4"/>
        </w:numPr>
        <w:spacing w:before="15" w:after="225"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 xml:space="preserve">Det er ikke tilladt at fjerne genstande fra containerne eller fra </w:t>
      </w:r>
      <w:proofErr w:type="spellStart"/>
      <w:r>
        <w:rPr>
          <w:rFonts w:ascii="Verdana" w:eastAsia="Times New Roman" w:hAnsi="Verdana"/>
          <w:sz w:val="20"/>
          <w:szCs w:val="20"/>
          <w:lang w:eastAsia="da-DK"/>
        </w:rPr>
        <w:t>genbrugspladsen</w:t>
      </w:r>
      <w:proofErr w:type="spellEnd"/>
      <w:r>
        <w:rPr>
          <w:rFonts w:ascii="Verdana" w:eastAsia="Times New Roman" w:hAnsi="Verdana"/>
          <w:sz w:val="20"/>
          <w:szCs w:val="20"/>
          <w:lang w:eastAsia="da-DK"/>
        </w:rPr>
        <w:t>, men kun genstande fra genbrugsbutikken, der kan købes.</w:t>
      </w:r>
    </w:p>
    <w:p w:rsidR="00FB6FFC" w:rsidRDefault="00FB6FFC" w:rsidP="00FB6FFC">
      <w:pPr>
        <w:pStyle w:val="Listeafsnit"/>
        <w:numPr>
          <w:ilvl w:val="0"/>
          <w:numId w:val="4"/>
        </w:numPr>
        <w:spacing w:before="15" w:after="225"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Børn må kun komme på pladsen ifølge med voksen pga. trafik og farlige maskiner.</w:t>
      </w:r>
    </w:p>
    <w:p w:rsidR="00FB6FFC" w:rsidRDefault="00FB6FFC" w:rsidP="00FB6FFC">
      <w:pPr>
        <w:pStyle w:val="Listeafsnit"/>
        <w:numPr>
          <w:ilvl w:val="0"/>
          <w:numId w:val="4"/>
        </w:numPr>
        <w:spacing w:before="15" w:after="225"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 xml:space="preserve">Det er ikke tilladt at opholde sig på pladsen uden for åbningstid. </w:t>
      </w:r>
    </w:p>
    <w:p w:rsidR="00FB6FFC" w:rsidRDefault="00FB6FFC" w:rsidP="00FB6FFC">
      <w:pPr>
        <w:pStyle w:val="Listeafsnit"/>
        <w:numPr>
          <w:ilvl w:val="0"/>
          <w:numId w:val="4"/>
        </w:numPr>
        <w:spacing w:before="15" w:after="225"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Enhver der kommer på genbrugspladserne er pligtig til at rette sig efter personalets instrukser og anvisninger.</w:t>
      </w:r>
    </w:p>
    <w:p w:rsidR="00FB6FFC" w:rsidRDefault="00FB6FFC" w:rsidP="00FB6FFC">
      <w:pPr>
        <w:pStyle w:val="Listeafsnit"/>
        <w:numPr>
          <w:ilvl w:val="0"/>
          <w:numId w:val="4"/>
        </w:numPr>
        <w:spacing w:before="15" w:after="225" w:line="225" w:lineRule="atLeast"/>
        <w:textAlignment w:val="top"/>
        <w:rPr>
          <w:rFonts w:ascii="Verdana" w:eastAsia="Times New Roman" w:hAnsi="Verdana"/>
          <w:sz w:val="20"/>
          <w:szCs w:val="20"/>
          <w:lang w:eastAsia="da-DK"/>
        </w:rPr>
      </w:pPr>
      <w:r>
        <w:rPr>
          <w:rFonts w:ascii="Verdana" w:eastAsia="Times New Roman" w:hAnsi="Verdana"/>
          <w:sz w:val="20"/>
          <w:szCs w:val="20"/>
          <w:lang w:eastAsia="da-DK"/>
        </w:rPr>
        <w:t xml:space="preserve">Personalet er berettiget til at bortvise personer fra pladsen som overtræder nærværende ordensreglement. </w:t>
      </w:r>
    </w:p>
    <w:p w:rsidR="00FB6FFC" w:rsidRDefault="00FB6FFC" w:rsidP="00FB6FFC">
      <w:pPr>
        <w:pStyle w:val="Overskrift3"/>
        <w:rPr>
          <w:rFonts w:eastAsia="Times New Roman"/>
        </w:rPr>
      </w:pPr>
      <w:r>
        <w:rPr>
          <w:rFonts w:eastAsia="Times New Roman"/>
        </w:rPr>
        <w:t>§ 30.4 Genbrugshuset</w:t>
      </w:r>
    </w:p>
    <w:p w:rsidR="00FB6FFC" w:rsidRDefault="00FB6FFC" w:rsidP="00FB6FFC">
      <w:pPr>
        <w:spacing w:before="100" w:beforeAutospacing="1" w:after="100" w:afterAutospacing="1" w:line="260" w:lineRule="atLeast"/>
        <w:rPr>
          <w:rFonts w:ascii="Verdana" w:hAnsi="Verdana"/>
          <w:b/>
          <w:bCs/>
          <w:sz w:val="19"/>
          <w:szCs w:val="19"/>
          <w:lang w:eastAsia="da-DK"/>
        </w:rPr>
      </w:pPr>
      <w:r>
        <w:rPr>
          <w:rFonts w:ascii="Verdana" w:hAnsi="Verdana"/>
          <w:sz w:val="19"/>
          <w:szCs w:val="19"/>
          <w:lang w:eastAsia="da-DK"/>
        </w:rPr>
        <w:t>På genbrugspladserne er der et rum, hvor man kan aflevere genstande, som andre kan genbruge. På Hundested Genbrugsstation kan man kun aflevere genstande. Tingene bliver så sorteret og brugt til loppemarked af en organisation i Halsnæs Kommune. I Frederiksværk kan man aflevere genstande</w:t>
      </w:r>
      <w:r>
        <w:rPr>
          <w:rFonts w:ascii="Verdana" w:hAnsi="Verdana"/>
          <w:color w:val="FF0000"/>
          <w:sz w:val="19"/>
          <w:szCs w:val="19"/>
          <w:lang w:eastAsia="da-DK"/>
        </w:rPr>
        <w:t xml:space="preserve">, </w:t>
      </w:r>
      <w:r>
        <w:rPr>
          <w:rFonts w:ascii="Verdana" w:hAnsi="Verdana"/>
          <w:sz w:val="19"/>
          <w:szCs w:val="19"/>
          <w:lang w:eastAsia="da-DK"/>
        </w:rPr>
        <w:t>der senere sælges i genbrugsbutikken. For denne ordning gælder specielt:</w:t>
      </w:r>
    </w:p>
    <w:p w:rsidR="00FB6FFC" w:rsidRDefault="00FB6FFC" w:rsidP="00FB6FFC">
      <w:pPr>
        <w:pStyle w:val="Listeafsnit"/>
        <w:numPr>
          <w:ilvl w:val="0"/>
          <w:numId w:val="5"/>
        </w:numPr>
        <w:spacing w:before="100" w:beforeAutospacing="1" w:after="100" w:afterAutospacing="1"/>
        <w:rPr>
          <w:rFonts w:ascii="Verdana" w:eastAsia="Times New Roman" w:hAnsi="Verdana"/>
          <w:bCs w:val="0"/>
          <w:sz w:val="19"/>
          <w:szCs w:val="19"/>
          <w:lang w:eastAsia="da-DK"/>
        </w:rPr>
      </w:pPr>
      <w:r>
        <w:rPr>
          <w:rFonts w:ascii="Verdana" w:eastAsia="Times New Roman" w:hAnsi="Verdana"/>
          <w:sz w:val="19"/>
          <w:szCs w:val="19"/>
          <w:lang w:eastAsia="da-DK"/>
        </w:rPr>
        <w:t>Henstillede effekter skal være egnede til genbrug.</w:t>
      </w:r>
    </w:p>
    <w:p w:rsidR="00FB6FFC" w:rsidRDefault="00FB6FFC" w:rsidP="00FB6FFC">
      <w:pPr>
        <w:pStyle w:val="Listeafsnit"/>
        <w:numPr>
          <w:ilvl w:val="0"/>
          <w:numId w:val="5"/>
        </w:numPr>
        <w:spacing w:before="100" w:beforeAutospacing="1" w:after="100" w:afterAutospacing="1"/>
        <w:rPr>
          <w:rFonts w:ascii="Verdana" w:eastAsia="Times New Roman" w:hAnsi="Verdana"/>
          <w:sz w:val="19"/>
          <w:szCs w:val="19"/>
          <w:lang w:eastAsia="da-DK"/>
        </w:rPr>
      </w:pPr>
      <w:r>
        <w:rPr>
          <w:rFonts w:ascii="Verdana" w:eastAsia="Times New Roman" w:hAnsi="Verdana"/>
          <w:sz w:val="19"/>
          <w:szCs w:val="19"/>
          <w:lang w:eastAsia="da-DK"/>
        </w:rPr>
        <w:t>Personalet er berettiget til at afgøre hvad der er egnet til genbrug.</w:t>
      </w:r>
    </w:p>
    <w:p w:rsidR="00FB6FFC" w:rsidRDefault="00FB6FFC" w:rsidP="00FB6FFC">
      <w:pPr>
        <w:pStyle w:val="Listeafsnit"/>
        <w:numPr>
          <w:ilvl w:val="0"/>
          <w:numId w:val="5"/>
        </w:numPr>
        <w:spacing w:before="100" w:beforeAutospacing="1" w:after="100" w:afterAutospacing="1"/>
        <w:rPr>
          <w:rFonts w:ascii="Verdana" w:eastAsia="Times New Roman" w:hAnsi="Verdana"/>
          <w:sz w:val="19"/>
          <w:szCs w:val="19"/>
          <w:lang w:eastAsia="da-DK"/>
        </w:rPr>
      </w:pPr>
      <w:r>
        <w:rPr>
          <w:rFonts w:ascii="Verdana" w:eastAsia="Times New Roman" w:hAnsi="Verdana"/>
          <w:sz w:val="19"/>
          <w:szCs w:val="19"/>
          <w:lang w:eastAsia="da-DK"/>
        </w:rPr>
        <w:t>Effekter skal afleveres, så en vis orden fremstår.</w:t>
      </w:r>
    </w:p>
    <w:p w:rsidR="00FB6FFC" w:rsidRDefault="00FB6FFC" w:rsidP="00FB6FFC">
      <w:pPr>
        <w:pStyle w:val="Listeafsnit"/>
        <w:numPr>
          <w:ilvl w:val="0"/>
          <w:numId w:val="5"/>
        </w:numPr>
        <w:spacing w:before="100" w:beforeAutospacing="1" w:after="100" w:afterAutospacing="1"/>
        <w:rPr>
          <w:rFonts w:ascii="Verdana" w:eastAsia="Times New Roman" w:hAnsi="Verdana"/>
          <w:sz w:val="19"/>
          <w:szCs w:val="19"/>
          <w:lang w:eastAsia="da-DK"/>
        </w:rPr>
      </w:pPr>
      <w:r>
        <w:rPr>
          <w:rFonts w:ascii="Verdana" w:eastAsia="Times New Roman" w:hAnsi="Verdana"/>
          <w:sz w:val="19"/>
          <w:szCs w:val="19"/>
          <w:lang w:eastAsia="da-DK"/>
        </w:rPr>
        <w:t>Hvis rummet er overfyldt, kan der blive lukket for indlevering.</w:t>
      </w:r>
    </w:p>
    <w:p w:rsidR="00FB6FFC" w:rsidRDefault="00FB6FFC" w:rsidP="00FB6FFC">
      <w:pPr>
        <w:pStyle w:val="Listeafsnit"/>
        <w:numPr>
          <w:ilvl w:val="0"/>
          <w:numId w:val="5"/>
        </w:numPr>
        <w:spacing w:before="100" w:beforeAutospacing="1" w:after="100" w:afterAutospacing="1"/>
        <w:rPr>
          <w:rFonts w:ascii="Verdana" w:eastAsia="Times New Roman" w:hAnsi="Verdana"/>
          <w:sz w:val="19"/>
          <w:szCs w:val="19"/>
          <w:lang w:eastAsia="da-DK"/>
        </w:rPr>
      </w:pPr>
      <w:r>
        <w:rPr>
          <w:rFonts w:ascii="Verdana" w:eastAsia="Times New Roman" w:hAnsi="Verdana"/>
          <w:sz w:val="19"/>
          <w:szCs w:val="19"/>
          <w:lang w:eastAsia="da-DK"/>
        </w:rPr>
        <w:t>Ophold af længere varighed i genbrugsbygningen er ikke tilladt (max. 15 minutter).</w:t>
      </w:r>
    </w:p>
    <w:p w:rsidR="00FB6FFC" w:rsidRDefault="00FB6FFC" w:rsidP="00FB6FFC">
      <w:pPr>
        <w:pStyle w:val="Listeafsnit"/>
        <w:numPr>
          <w:ilvl w:val="0"/>
          <w:numId w:val="5"/>
        </w:numPr>
        <w:spacing w:before="100" w:beforeAutospacing="1" w:after="100" w:afterAutospacing="1"/>
        <w:rPr>
          <w:rFonts w:ascii="Verdana" w:eastAsia="Times New Roman" w:hAnsi="Verdana"/>
          <w:sz w:val="19"/>
          <w:szCs w:val="19"/>
          <w:lang w:eastAsia="da-DK"/>
        </w:rPr>
      </w:pPr>
      <w:r>
        <w:rPr>
          <w:rFonts w:ascii="Verdana" w:eastAsia="Times New Roman" w:hAnsi="Verdana"/>
          <w:sz w:val="19"/>
          <w:szCs w:val="19"/>
          <w:lang w:eastAsia="da-DK"/>
        </w:rPr>
        <w:t>Der må ikke stilles effekter uden for bygningen.</w:t>
      </w:r>
    </w:p>
    <w:p w:rsidR="00FB6FFC" w:rsidRDefault="00FB6FFC" w:rsidP="00FB6FFC">
      <w:pPr>
        <w:pStyle w:val="Overskrift3"/>
        <w:rPr>
          <w:rFonts w:eastAsia="Times New Roman"/>
        </w:rPr>
      </w:pPr>
      <w:r>
        <w:rPr>
          <w:rFonts w:eastAsia="Times New Roman"/>
        </w:rPr>
        <w:t>§ 30.5 Haveaffald</w:t>
      </w:r>
    </w:p>
    <w:p w:rsidR="00FB6FFC" w:rsidRDefault="00FB6FFC" w:rsidP="00FB6FFC">
      <w:pPr>
        <w:pStyle w:val="Listeafsnit"/>
        <w:numPr>
          <w:ilvl w:val="0"/>
          <w:numId w:val="6"/>
        </w:numPr>
        <w:spacing w:before="100" w:beforeAutospacing="1" w:after="100" w:afterAutospacing="1"/>
        <w:rPr>
          <w:rFonts w:ascii="Verdana" w:eastAsia="Times New Roman" w:hAnsi="Verdana"/>
          <w:sz w:val="19"/>
          <w:szCs w:val="19"/>
          <w:lang w:eastAsia="da-DK"/>
        </w:rPr>
      </w:pPr>
      <w:r>
        <w:rPr>
          <w:rFonts w:ascii="Verdana" w:eastAsia="Times New Roman" w:hAnsi="Verdana"/>
          <w:sz w:val="19"/>
          <w:szCs w:val="19"/>
          <w:lang w:eastAsia="da-DK"/>
        </w:rPr>
        <w:t>På genbrugspladserne er der specielle områder, hvor der modtages komposterbart haveaffald.</w:t>
      </w:r>
    </w:p>
    <w:p w:rsidR="00FB6FFC" w:rsidRDefault="00FB6FFC" w:rsidP="00FB6FFC">
      <w:pPr>
        <w:pStyle w:val="Listeafsnit"/>
        <w:numPr>
          <w:ilvl w:val="0"/>
          <w:numId w:val="6"/>
        </w:numPr>
        <w:spacing w:before="100" w:beforeAutospacing="1" w:after="100" w:afterAutospacing="1"/>
        <w:rPr>
          <w:rFonts w:ascii="Verdana" w:eastAsia="Times New Roman" w:hAnsi="Verdana"/>
          <w:sz w:val="19"/>
          <w:szCs w:val="19"/>
          <w:lang w:eastAsia="da-DK"/>
        </w:rPr>
      </w:pPr>
      <w:r>
        <w:rPr>
          <w:rFonts w:ascii="Verdana" w:eastAsia="Times New Roman" w:hAnsi="Verdana"/>
          <w:sz w:val="19"/>
          <w:szCs w:val="19"/>
          <w:lang w:eastAsia="da-DK"/>
        </w:rPr>
        <w:t>Emballage og ikke komposterbart materialer skal fjernes ved aflevering.</w:t>
      </w:r>
    </w:p>
    <w:p w:rsidR="00FB6FFC" w:rsidRDefault="00FB6FFC" w:rsidP="00FB6FFC">
      <w:pPr>
        <w:pStyle w:val="Listeafsnit"/>
        <w:numPr>
          <w:ilvl w:val="0"/>
          <w:numId w:val="6"/>
        </w:numPr>
        <w:spacing w:before="100" w:beforeAutospacing="1" w:after="100" w:afterAutospacing="1"/>
        <w:rPr>
          <w:rFonts w:ascii="Verdana" w:eastAsia="Times New Roman" w:hAnsi="Verdana"/>
          <w:sz w:val="19"/>
          <w:szCs w:val="19"/>
          <w:lang w:eastAsia="da-DK"/>
        </w:rPr>
      </w:pPr>
      <w:r>
        <w:rPr>
          <w:rFonts w:ascii="Verdana" w:eastAsia="Times New Roman" w:hAnsi="Verdana"/>
          <w:sz w:val="19"/>
          <w:szCs w:val="19"/>
          <w:lang w:eastAsia="da-DK"/>
        </w:rPr>
        <w:t>Jord og sten er ikke komposterbart haveaffald og skal afleveres i container</w:t>
      </w:r>
      <w:r>
        <w:rPr>
          <w:rFonts w:ascii="Verdana" w:eastAsia="Times New Roman" w:hAnsi="Verdana"/>
          <w:color w:val="FF0000"/>
          <w:sz w:val="19"/>
          <w:szCs w:val="19"/>
          <w:lang w:eastAsia="da-DK"/>
        </w:rPr>
        <w:t>e</w:t>
      </w:r>
      <w:r>
        <w:rPr>
          <w:rFonts w:ascii="Verdana" w:eastAsia="Times New Roman" w:hAnsi="Verdana"/>
          <w:sz w:val="19"/>
          <w:szCs w:val="19"/>
          <w:lang w:eastAsia="da-DK"/>
        </w:rPr>
        <w:t xml:space="preserve"> til dette.</w:t>
      </w:r>
    </w:p>
    <w:p w:rsidR="00FB6FFC" w:rsidRDefault="00FB6FFC" w:rsidP="00FB6FFC">
      <w:pPr>
        <w:pStyle w:val="Listeafsnit"/>
        <w:numPr>
          <w:ilvl w:val="0"/>
          <w:numId w:val="6"/>
        </w:numPr>
        <w:spacing w:before="100" w:beforeAutospacing="1" w:after="100" w:afterAutospacing="1"/>
        <w:rPr>
          <w:rFonts w:ascii="Verdana" w:eastAsia="Times New Roman" w:hAnsi="Verdana"/>
          <w:sz w:val="19"/>
          <w:szCs w:val="19"/>
          <w:lang w:eastAsia="da-DK"/>
        </w:rPr>
      </w:pPr>
      <w:r>
        <w:rPr>
          <w:rFonts w:ascii="Verdana" w:eastAsia="Times New Roman" w:hAnsi="Verdana"/>
          <w:sz w:val="19"/>
          <w:szCs w:val="19"/>
          <w:lang w:eastAsia="da-DK"/>
        </w:rPr>
        <w:t>En gang årligt udleveres der færdig kompost til fri afbenyttelse.</w:t>
      </w:r>
    </w:p>
    <w:p w:rsidR="00FB6FFC" w:rsidRDefault="00FB6FFC" w:rsidP="00FB6FFC">
      <w:pPr>
        <w:pStyle w:val="Overskrift3"/>
        <w:rPr>
          <w:rFonts w:eastAsia="Times New Roman"/>
        </w:rPr>
      </w:pPr>
      <w:r>
        <w:rPr>
          <w:rFonts w:eastAsia="Times New Roman"/>
        </w:rPr>
        <w:t>§ 30.6 Lovhjemmel</w:t>
      </w:r>
    </w:p>
    <w:p w:rsidR="00FB6FFC" w:rsidRDefault="00FB6FFC" w:rsidP="00FB6FFC">
      <w:pPr>
        <w:rPr>
          <w:rFonts w:ascii="Verdana" w:hAnsi="Verdana"/>
          <w:sz w:val="19"/>
          <w:szCs w:val="19"/>
          <w:lang w:eastAsia="da-DK"/>
        </w:rPr>
      </w:pPr>
      <w:r>
        <w:rPr>
          <w:rFonts w:ascii="Verdana" w:hAnsi="Verdana"/>
          <w:sz w:val="19"/>
          <w:szCs w:val="19"/>
          <w:lang w:eastAsia="da-DK"/>
        </w:rPr>
        <w:t>I henhold til Miljøministeriets bekendtgørelse om affald, Bek. Nr. 2512 af 10 december 2021, og Bekendtgørelse nr. 511 af den 20. juni</w:t>
      </w:r>
      <w:bookmarkStart w:id="0" w:name="_GoBack"/>
      <w:bookmarkEnd w:id="0"/>
      <w:r>
        <w:rPr>
          <w:rFonts w:ascii="Verdana" w:hAnsi="Verdana"/>
          <w:sz w:val="19"/>
          <w:szCs w:val="19"/>
          <w:lang w:eastAsia="da-DK"/>
        </w:rPr>
        <w:t xml:space="preserve"> 2005 om politiets sikring af den offentlige orden og beskyttelse af enkeltpersoners og den offentlige sikkerhed mv. samt politiets adgang til at</w:t>
      </w:r>
      <w:r>
        <w:rPr>
          <w:rFonts w:ascii="Verdana" w:hAnsi="Verdana"/>
          <w:sz w:val="19"/>
          <w:szCs w:val="19"/>
          <w:lang w:eastAsia="da-DK"/>
        </w:rPr>
        <w:t xml:space="preserve"> </w:t>
      </w:r>
      <w:r w:rsidRPr="00FB6FFC">
        <w:rPr>
          <w:rFonts w:ascii="Verdana" w:hAnsi="Verdana"/>
          <w:sz w:val="19"/>
          <w:szCs w:val="19"/>
          <w:lang w:eastAsia="da-DK"/>
        </w:rPr>
        <w:t xml:space="preserve">iværksætte midlertidige foranstaltninger § 16 og § 18, kan overtrædelser medføre bortvisning, politianmeldelse og bødestraf. </w:t>
      </w:r>
    </w:p>
    <w:p w:rsidR="00FB6FFC" w:rsidRDefault="00FB6FFC" w:rsidP="00FB6FFC">
      <w:pPr>
        <w:rPr>
          <w:rFonts w:ascii="Verdana" w:hAnsi="Verdana"/>
          <w:sz w:val="19"/>
          <w:szCs w:val="19"/>
          <w:lang w:eastAsia="da-DK"/>
        </w:rPr>
      </w:pPr>
    </w:p>
    <w:p w:rsidR="00FB6FFC" w:rsidRDefault="00FB6FFC" w:rsidP="00FB6FFC">
      <w:pPr>
        <w:rPr>
          <w:rFonts w:ascii="Verdana" w:hAnsi="Verdana"/>
          <w:sz w:val="19"/>
          <w:szCs w:val="19"/>
          <w:lang w:eastAsia="da-DK"/>
        </w:rPr>
      </w:pPr>
      <w:r w:rsidRPr="00FB6FFC">
        <w:rPr>
          <w:rFonts w:ascii="Verdana" w:hAnsi="Verdana"/>
          <w:sz w:val="19"/>
          <w:szCs w:val="19"/>
          <w:lang w:eastAsia="da-DK"/>
        </w:rPr>
        <w:t xml:space="preserve">Genbrugspladserne drives af Halsnæs Forsyning i samarbejde med </w:t>
      </w:r>
      <w:proofErr w:type="spellStart"/>
      <w:r w:rsidRPr="00FB6FFC">
        <w:rPr>
          <w:rFonts w:ascii="Verdana" w:hAnsi="Verdana"/>
          <w:sz w:val="19"/>
          <w:szCs w:val="19"/>
          <w:lang w:eastAsia="da-DK"/>
        </w:rPr>
        <w:t>Vestforbrænding</w:t>
      </w:r>
      <w:proofErr w:type="spellEnd"/>
      <w:r w:rsidRPr="00FB6FFC">
        <w:rPr>
          <w:rFonts w:ascii="Verdana" w:hAnsi="Verdana"/>
          <w:sz w:val="19"/>
          <w:szCs w:val="19"/>
          <w:lang w:eastAsia="da-DK"/>
        </w:rPr>
        <w:t xml:space="preserve">. </w:t>
      </w:r>
    </w:p>
    <w:p w:rsidR="00FB6FFC" w:rsidRDefault="00FB6FFC" w:rsidP="00FB6FFC">
      <w:pPr>
        <w:rPr>
          <w:rFonts w:ascii="Verdana" w:hAnsi="Verdana"/>
          <w:sz w:val="19"/>
          <w:szCs w:val="19"/>
          <w:lang w:eastAsia="da-DK"/>
        </w:rPr>
      </w:pPr>
    </w:p>
    <w:p w:rsidR="00FB6FFC" w:rsidRPr="00FB6FFC" w:rsidRDefault="00FB6FFC" w:rsidP="00FB6FFC">
      <w:pPr>
        <w:rPr>
          <w:rFonts w:ascii="Verdana" w:hAnsi="Verdana"/>
          <w:sz w:val="19"/>
          <w:szCs w:val="19"/>
          <w:lang w:eastAsia="da-DK"/>
        </w:rPr>
      </w:pPr>
      <w:r w:rsidRPr="00FB6FFC">
        <w:rPr>
          <w:rFonts w:ascii="Verdana" w:hAnsi="Verdana"/>
          <w:sz w:val="19"/>
          <w:szCs w:val="19"/>
          <w:lang w:eastAsia="da-DK"/>
        </w:rPr>
        <w:t>Dette ordensreglement er vedtaget af Byrådet den 28. april 2022 og godkendt af Politimesteren den 11. marts 2022</w:t>
      </w:r>
      <w:r>
        <w:rPr>
          <w:rFonts w:ascii="Verdana" w:hAnsi="Verdana"/>
          <w:sz w:val="19"/>
          <w:szCs w:val="19"/>
          <w:lang w:eastAsia="da-DK"/>
        </w:rPr>
        <w:t>.</w:t>
      </w:r>
    </w:p>
    <w:p w:rsidR="009956D9" w:rsidRPr="00FB6FFC" w:rsidRDefault="009956D9">
      <w:pPr>
        <w:rPr>
          <w:rFonts w:ascii="Verdana" w:hAnsi="Verdana"/>
          <w:sz w:val="19"/>
          <w:szCs w:val="19"/>
          <w:lang w:eastAsia="da-DK"/>
        </w:rPr>
      </w:pPr>
    </w:p>
    <w:sectPr w:rsidR="009956D9" w:rsidRPr="00FB6F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B1834"/>
    <w:multiLevelType w:val="multilevel"/>
    <w:tmpl w:val="CC6A73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DC463C2"/>
    <w:multiLevelType w:val="multilevel"/>
    <w:tmpl w:val="8E4A1106"/>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4F6007E"/>
    <w:multiLevelType w:val="multilevel"/>
    <w:tmpl w:val="CC6A73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7342899"/>
    <w:multiLevelType w:val="multilevel"/>
    <w:tmpl w:val="CC6A73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BF755D2"/>
    <w:multiLevelType w:val="multilevel"/>
    <w:tmpl w:val="CC6A73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09171B4"/>
    <w:multiLevelType w:val="multilevel"/>
    <w:tmpl w:val="91CA9F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C"/>
    <w:rsid w:val="0035613B"/>
    <w:rsid w:val="00761281"/>
    <w:rsid w:val="00865920"/>
    <w:rsid w:val="009956D9"/>
    <w:rsid w:val="009E202D"/>
    <w:rsid w:val="00FB6F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6506"/>
  <w15:chartTrackingRefBased/>
  <w15:docId w15:val="{A390AFA6-8065-45D9-A3CC-EA244B687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FFC"/>
    <w:pPr>
      <w:spacing w:after="0" w:line="240" w:lineRule="auto"/>
    </w:pPr>
    <w:rPr>
      <w:rFonts w:ascii="Calibri" w:hAnsi="Calibri" w:cs="Calibri"/>
    </w:rPr>
  </w:style>
  <w:style w:type="paragraph" w:styleId="Overskrift2">
    <w:name w:val="heading 2"/>
    <w:basedOn w:val="Normal"/>
    <w:link w:val="Overskrift2Tegn"/>
    <w:uiPriority w:val="9"/>
    <w:semiHidden/>
    <w:unhideWhenUsed/>
    <w:qFormat/>
    <w:rsid w:val="00FB6FFC"/>
    <w:pPr>
      <w:keepNext/>
      <w:spacing w:before="100" w:beforeAutospacing="1" w:after="120" w:line="260" w:lineRule="atLeast"/>
      <w:outlineLvl w:val="1"/>
    </w:pPr>
    <w:rPr>
      <w:rFonts w:ascii="Verdana" w:hAnsi="Verdana"/>
      <w:b/>
      <w:bCs/>
      <w:sz w:val="24"/>
      <w:szCs w:val="24"/>
      <w:lang w:eastAsia="da-DK"/>
    </w:rPr>
  </w:style>
  <w:style w:type="paragraph" w:styleId="Overskrift3">
    <w:name w:val="heading 3"/>
    <w:basedOn w:val="Normal"/>
    <w:link w:val="Overskrift3Tegn"/>
    <w:uiPriority w:val="9"/>
    <w:semiHidden/>
    <w:unhideWhenUsed/>
    <w:qFormat/>
    <w:rsid w:val="00FB6FFC"/>
    <w:pPr>
      <w:keepNext/>
      <w:spacing w:before="100" w:beforeAutospacing="1" w:line="260" w:lineRule="atLeast"/>
      <w:outlineLvl w:val="2"/>
    </w:pPr>
    <w:rPr>
      <w:rFonts w:ascii="Verdana" w:hAnsi="Verdana"/>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9E202D"/>
    <w:rPr>
      <w:b/>
      <w:bCs/>
      <w:sz w:val="24"/>
      <w:szCs w:val="24"/>
    </w:rPr>
  </w:style>
  <w:style w:type="paragraph" w:styleId="Listeafsnit">
    <w:name w:val="List Paragraph"/>
    <w:basedOn w:val="Normal"/>
    <w:uiPriority w:val="34"/>
    <w:qFormat/>
    <w:rsid w:val="00761281"/>
    <w:pPr>
      <w:spacing w:before="120"/>
      <w:ind w:left="720"/>
      <w:contextualSpacing/>
    </w:pPr>
    <w:rPr>
      <w:rFonts w:eastAsia="SimSun" w:cs="Arial"/>
      <w:bCs/>
      <w:szCs w:val="18"/>
      <w:lang w:eastAsia="zh-CN"/>
    </w:rPr>
  </w:style>
  <w:style w:type="character" w:customStyle="1" w:styleId="Overskrift2Tegn">
    <w:name w:val="Overskrift 2 Tegn"/>
    <w:basedOn w:val="Standardskrifttypeiafsnit"/>
    <w:link w:val="Overskrift2"/>
    <w:uiPriority w:val="9"/>
    <w:semiHidden/>
    <w:rsid w:val="00FB6FFC"/>
    <w:rPr>
      <w:rFonts w:ascii="Verdana" w:hAnsi="Verdana" w:cs="Calibri"/>
      <w:b/>
      <w:bCs/>
      <w:sz w:val="24"/>
      <w:szCs w:val="24"/>
      <w:lang w:eastAsia="da-DK"/>
    </w:rPr>
  </w:style>
  <w:style w:type="character" w:customStyle="1" w:styleId="Overskrift3Tegn">
    <w:name w:val="Overskrift 3 Tegn"/>
    <w:basedOn w:val="Standardskrifttypeiafsnit"/>
    <w:link w:val="Overskrift3"/>
    <w:uiPriority w:val="9"/>
    <w:semiHidden/>
    <w:rsid w:val="00FB6FFC"/>
    <w:rPr>
      <w:rFonts w:ascii="Verdana" w:hAnsi="Verdana" w:cs="Calibri"/>
      <w:b/>
      <w:bCs/>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7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4202</Characters>
  <Application>Microsoft Office Word</Application>
  <DocSecurity>0</DocSecurity>
  <Lines>35</Lines>
  <Paragraphs>9</Paragraphs>
  <ScaleCrop>false</ScaleCrop>
  <HeadingPairs>
    <vt:vector size="4" baseType="variant">
      <vt:variant>
        <vt:lpstr>Titel</vt:lpstr>
      </vt:variant>
      <vt:variant>
        <vt:i4>1</vt:i4>
      </vt:variant>
      <vt:variant>
        <vt:lpstr>Overskrifter</vt:lpstr>
      </vt:variant>
      <vt:variant>
        <vt:i4>7</vt:i4>
      </vt:variant>
    </vt:vector>
  </HeadingPairs>
  <TitlesOfParts>
    <vt:vector size="8" baseType="lpstr">
      <vt:lpstr/>
      <vt:lpstr>    § 30 Ordensreglement for genbrugspladserne i Frederiksværk og Hundested</vt:lpstr>
      <vt:lpstr>        § 30.1 Grundlag og område</vt:lpstr>
      <vt:lpstr>        § 30.2 Affaldsmodtagelse og sortering</vt:lpstr>
      <vt:lpstr>        § 30.3 Færdsel og ophold</vt:lpstr>
      <vt:lpstr>        § 30.4 Genbrugshuset</vt:lpstr>
      <vt:lpstr>        § 30.5 Haveaffald</vt:lpstr>
      <vt:lpstr>        § 30.6 Lovhjemmel</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Abia Reindorf</dc:creator>
  <cp:keywords/>
  <dc:description/>
  <cp:lastModifiedBy>Abia Reindorf</cp:lastModifiedBy>
  <cp:revision>1</cp:revision>
  <dcterms:created xsi:type="dcterms:W3CDTF">2022-12-28T16:09:00Z</dcterms:created>
  <dcterms:modified xsi:type="dcterms:W3CDTF">2022-12-28T16:13:00Z</dcterms:modified>
</cp:coreProperties>
</file>